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D3420" w14:textId="4A54FE09" w:rsidR="005A7000" w:rsidRDefault="005A7000" w:rsidP="005A700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E7B3E6" wp14:editId="1EF11C14">
            <wp:simplePos x="0" y="0"/>
            <wp:positionH relativeFrom="margin">
              <wp:posOffset>3810</wp:posOffset>
            </wp:positionH>
            <wp:positionV relativeFrom="margin">
              <wp:posOffset>-706755</wp:posOffset>
            </wp:positionV>
            <wp:extent cx="5943600" cy="6978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MINISTRIA E ARSIMIT, SPORTIT DHE RINISË</w:t>
      </w:r>
    </w:p>
    <w:p w14:paraId="27F5AAF5" w14:textId="77777777" w:rsidR="005A7000" w:rsidRDefault="005A7000" w:rsidP="005A7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AGJENCIA KOMBËTARE E RINISË</w:t>
      </w:r>
    </w:p>
    <w:p w14:paraId="0E4EC1A7" w14:textId="77777777" w:rsidR="00E87361" w:rsidRPr="004B582A" w:rsidRDefault="00E87361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E67CCA6" w14:textId="77777777" w:rsidR="00E87361" w:rsidRPr="004B582A" w:rsidRDefault="00E87361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6F230A37" w14:textId="141EE66D" w:rsidR="00E87361" w:rsidRPr="00FD5773" w:rsidRDefault="00E87361" w:rsidP="005A70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D5773">
        <w:rPr>
          <w:rFonts w:ascii="Times New Roman" w:hAnsi="Times New Roman" w:cs="Times New Roman"/>
          <w:b/>
          <w:bCs/>
          <w:sz w:val="24"/>
          <w:szCs w:val="24"/>
          <w:lang w:val="sq-AL"/>
        </w:rPr>
        <w:t>Rregullat për Menaxhimin Financiar</w:t>
      </w:r>
    </w:p>
    <w:p w14:paraId="52EDE1A6" w14:textId="74555B17" w:rsidR="005A7000" w:rsidRPr="00112357" w:rsidRDefault="001906D1" w:rsidP="005A7000">
      <w:pPr>
        <w:spacing w:line="360" w:lineRule="auto"/>
        <w:ind w:left="-270" w:right="37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12357">
        <w:rPr>
          <w:rFonts w:ascii="Times New Roman" w:hAnsi="Times New Roman" w:cs="Times New Roman"/>
          <w:b/>
          <w:sz w:val="24"/>
          <w:szCs w:val="24"/>
          <w:lang w:val="sq-AL"/>
        </w:rPr>
        <w:t xml:space="preserve">1.1 </w:t>
      </w:r>
      <w:r w:rsidR="00E87361" w:rsidRPr="00112357">
        <w:rPr>
          <w:rFonts w:ascii="Times New Roman" w:hAnsi="Times New Roman" w:cs="Times New Roman"/>
          <w:sz w:val="24"/>
          <w:szCs w:val="24"/>
          <w:lang w:val="sq-AL"/>
        </w:rPr>
        <w:t xml:space="preserve">Grantmarrësi është i detyruar të respektojë legjislacionin tatimor në fuqi, duke përmbushur të gjitha detyrimet përkatëse: </w:t>
      </w:r>
    </w:p>
    <w:p w14:paraId="32B5C04B" w14:textId="77777777" w:rsidR="005A7000" w:rsidRPr="00112357" w:rsidRDefault="00E87361" w:rsidP="005A7000">
      <w:pPr>
        <w:pStyle w:val="ListParagraph"/>
        <w:numPr>
          <w:ilvl w:val="0"/>
          <w:numId w:val="5"/>
        </w:numPr>
        <w:spacing w:line="360" w:lineRule="auto"/>
        <w:ind w:right="37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12357">
        <w:rPr>
          <w:rFonts w:ascii="Times New Roman" w:hAnsi="Times New Roman" w:cs="Times New Roman"/>
          <w:sz w:val="24"/>
          <w:szCs w:val="24"/>
          <w:lang w:val="sq-AL"/>
        </w:rPr>
        <w:t>derdhja e sigurimeve shoqërore dhe tatimit mbi të ardhurat për pagesat e stafit (njihet si shpenzim paga bruto, plus sigurimet shoqërore/shëndetësore të punëdhënësit).</w:t>
      </w:r>
    </w:p>
    <w:p w14:paraId="06DAE1D1" w14:textId="77777777" w:rsidR="005A7000" w:rsidRPr="00112357" w:rsidRDefault="00E87361" w:rsidP="005A7000">
      <w:pPr>
        <w:pStyle w:val="ListParagraph"/>
        <w:numPr>
          <w:ilvl w:val="0"/>
          <w:numId w:val="5"/>
        </w:numPr>
        <w:spacing w:line="360" w:lineRule="auto"/>
        <w:ind w:right="37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12357">
        <w:rPr>
          <w:rFonts w:ascii="Times New Roman" w:hAnsi="Times New Roman" w:cs="Times New Roman"/>
          <w:sz w:val="24"/>
          <w:szCs w:val="24"/>
          <w:lang w:val="sq-AL"/>
        </w:rPr>
        <w:t xml:space="preserve">derdhja e tatimit në burim (tatimi mbi të ardhurat) për shërbimet/kontratat e ekspertizës dhe qerasë; </w:t>
      </w:r>
    </w:p>
    <w:p w14:paraId="2295C1A8" w14:textId="68B8909D" w:rsidR="00E87361" w:rsidRPr="00112357" w:rsidRDefault="00E87361" w:rsidP="00507677">
      <w:pPr>
        <w:pStyle w:val="ListParagraph"/>
        <w:numPr>
          <w:ilvl w:val="0"/>
          <w:numId w:val="5"/>
        </w:numPr>
        <w:spacing w:line="360" w:lineRule="auto"/>
        <w:ind w:right="375"/>
        <w:rPr>
          <w:rFonts w:ascii="Times New Roman" w:hAnsi="Times New Roman" w:cs="Times New Roman"/>
          <w:sz w:val="24"/>
          <w:szCs w:val="24"/>
          <w:lang w:val="sq-AL"/>
        </w:rPr>
      </w:pPr>
      <w:r w:rsidRPr="00112357">
        <w:rPr>
          <w:rFonts w:ascii="Times New Roman" w:hAnsi="Times New Roman" w:cs="Times New Roman"/>
          <w:sz w:val="24"/>
          <w:szCs w:val="24"/>
          <w:lang w:val="sq-AL"/>
        </w:rPr>
        <w:t>derdhja</w:t>
      </w:r>
      <w:r w:rsidR="0050767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12357">
        <w:rPr>
          <w:rFonts w:ascii="Times New Roman" w:hAnsi="Times New Roman" w:cs="Times New Roman"/>
          <w:sz w:val="24"/>
          <w:szCs w:val="24"/>
          <w:lang w:val="sq-AL"/>
        </w:rPr>
        <w:t>e çdo detyrimi tjetër të parashikuar në legjislacionin në fuqi.</w:t>
      </w:r>
      <w:r w:rsidR="005A7000" w:rsidRPr="00112357">
        <w:rPr>
          <w:rFonts w:ascii="Times New Roman" w:hAnsi="Times New Roman" w:cs="Times New Roman"/>
          <w:sz w:val="24"/>
          <w:szCs w:val="24"/>
          <w:lang w:val="sq-AL"/>
        </w:rPr>
        <w:br/>
      </w:r>
    </w:p>
    <w:p w14:paraId="6633042C" w14:textId="5D73A16B" w:rsidR="00E87361" w:rsidRPr="00112357" w:rsidRDefault="001906D1" w:rsidP="005A7000">
      <w:pPr>
        <w:pStyle w:val="CommentText"/>
        <w:spacing w:line="360" w:lineRule="auto"/>
        <w:ind w:left="-270" w:right="375"/>
        <w:jc w:val="both"/>
        <w:rPr>
          <w:sz w:val="24"/>
          <w:szCs w:val="24"/>
          <w:lang w:val="sq-AL"/>
        </w:rPr>
      </w:pPr>
      <w:r w:rsidRPr="00112357">
        <w:rPr>
          <w:b/>
          <w:sz w:val="24"/>
          <w:szCs w:val="24"/>
          <w:lang w:val="sq-AL"/>
        </w:rPr>
        <w:t>1.2</w:t>
      </w:r>
      <w:r w:rsidRPr="00112357">
        <w:rPr>
          <w:sz w:val="24"/>
          <w:szCs w:val="24"/>
          <w:lang w:val="sq-AL"/>
        </w:rPr>
        <w:t xml:space="preserve"> </w:t>
      </w:r>
      <w:r w:rsidR="00E87361" w:rsidRPr="00112357">
        <w:rPr>
          <w:sz w:val="24"/>
          <w:szCs w:val="24"/>
          <w:lang w:val="sq-AL"/>
        </w:rPr>
        <w:t>Grantmarr</w:t>
      </w:r>
      <w:r w:rsidR="005A7000" w:rsidRPr="00112357">
        <w:rPr>
          <w:sz w:val="24"/>
          <w:szCs w:val="24"/>
          <w:lang w:val="sq-AL"/>
        </w:rPr>
        <w:t>ë</w:t>
      </w:r>
      <w:r w:rsidR="00E87361" w:rsidRPr="00112357">
        <w:rPr>
          <w:sz w:val="24"/>
          <w:szCs w:val="24"/>
          <w:lang w:val="sq-AL"/>
        </w:rPr>
        <w:t xml:space="preserve">si është i detyruar që për </w:t>
      </w:r>
      <w:r w:rsidRPr="00112357">
        <w:rPr>
          <w:sz w:val="24"/>
          <w:szCs w:val="24"/>
          <w:lang w:val="sq-AL"/>
        </w:rPr>
        <w:t>ç</w:t>
      </w:r>
      <w:r w:rsidR="00E87361" w:rsidRPr="00112357">
        <w:rPr>
          <w:sz w:val="24"/>
          <w:szCs w:val="24"/>
          <w:lang w:val="sq-AL"/>
        </w:rPr>
        <w:t>do raportim financiar të dorëzoj</w:t>
      </w:r>
      <w:r w:rsidRPr="00112357">
        <w:rPr>
          <w:sz w:val="24"/>
          <w:szCs w:val="24"/>
          <w:lang w:val="sq-AL"/>
        </w:rPr>
        <w:t>ë</w:t>
      </w:r>
      <w:r w:rsidR="00E87361" w:rsidRPr="00112357">
        <w:rPr>
          <w:sz w:val="24"/>
          <w:szCs w:val="24"/>
          <w:lang w:val="sq-AL"/>
        </w:rPr>
        <w:t xml:space="preserve"> dokumentat si më poshtë:</w:t>
      </w:r>
    </w:p>
    <w:p w14:paraId="4E340A63" w14:textId="30CB5DF2" w:rsidR="00E87361" w:rsidRPr="00112357" w:rsidRDefault="00E87361" w:rsidP="005A7000">
      <w:pPr>
        <w:pStyle w:val="CommentText"/>
        <w:numPr>
          <w:ilvl w:val="0"/>
          <w:numId w:val="4"/>
        </w:numPr>
        <w:spacing w:line="360" w:lineRule="auto"/>
        <w:ind w:right="375"/>
        <w:jc w:val="both"/>
        <w:rPr>
          <w:sz w:val="24"/>
          <w:szCs w:val="24"/>
          <w:lang w:val="sq-AL"/>
        </w:rPr>
      </w:pPr>
      <w:r w:rsidRPr="00112357">
        <w:rPr>
          <w:sz w:val="24"/>
          <w:szCs w:val="24"/>
          <w:lang w:val="sq-AL"/>
        </w:rPr>
        <w:t>P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>r pagesat e pagave, t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 xml:space="preserve"> sjell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 xml:space="preserve"> list</w:t>
      </w:r>
      <w:r w:rsidR="00803815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>pages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>n e gjeneruar nga sistemi i tatimeve.</w:t>
      </w:r>
    </w:p>
    <w:p w14:paraId="3D7F6237" w14:textId="000761AA" w:rsidR="00E87361" w:rsidRPr="00112357" w:rsidRDefault="00E87361" w:rsidP="005A7000">
      <w:pPr>
        <w:pStyle w:val="CommentText"/>
        <w:numPr>
          <w:ilvl w:val="0"/>
          <w:numId w:val="4"/>
        </w:numPr>
        <w:spacing w:line="360" w:lineRule="auto"/>
        <w:ind w:right="375"/>
        <w:jc w:val="both"/>
        <w:rPr>
          <w:sz w:val="24"/>
          <w:szCs w:val="24"/>
          <w:lang w:val="sq-AL"/>
        </w:rPr>
      </w:pPr>
      <w:r w:rsidRPr="00112357">
        <w:rPr>
          <w:sz w:val="24"/>
          <w:szCs w:val="24"/>
          <w:lang w:val="sq-AL"/>
        </w:rPr>
        <w:t>P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>r pagesat e kontributeve t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 xml:space="preserve"> Sig</w:t>
      </w:r>
      <w:r w:rsidR="001906D1" w:rsidRPr="00112357">
        <w:rPr>
          <w:sz w:val="24"/>
          <w:szCs w:val="24"/>
          <w:lang w:val="sq-AL"/>
        </w:rPr>
        <w:t>urimeve</w:t>
      </w:r>
      <w:r w:rsidRPr="00112357">
        <w:rPr>
          <w:sz w:val="24"/>
          <w:szCs w:val="24"/>
          <w:lang w:val="sq-AL"/>
        </w:rPr>
        <w:t xml:space="preserve"> Shoq</w:t>
      </w:r>
      <w:r w:rsidR="001906D1" w:rsidRPr="00112357">
        <w:rPr>
          <w:sz w:val="24"/>
          <w:szCs w:val="24"/>
          <w:lang w:val="sq-AL"/>
        </w:rPr>
        <w:t>ërore</w:t>
      </w:r>
      <w:r w:rsidRPr="00112357">
        <w:rPr>
          <w:sz w:val="24"/>
          <w:szCs w:val="24"/>
          <w:lang w:val="sq-AL"/>
        </w:rPr>
        <w:t xml:space="preserve"> dhe Sh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>ndet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>sore, TAP t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 xml:space="preserve"> sjell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 xml:space="preserve"> formularin e deklarimit, urdh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>r pages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 xml:space="preserve">n dhe njoftim debitimi. </w:t>
      </w:r>
    </w:p>
    <w:p w14:paraId="031F73AD" w14:textId="6DC90B72" w:rsidR="00E87361" w:rsidRPr="00112357" w:rsidRDefault="00E87361" w:rsidP="001906D1">
      <w:pPr>
        <w:pStyle w:val="CommentText"/>
        <w:numPr>
          <w:ilvl w:val="0"/>
          <w:numId w:val="4"/>
        </w:numPr>
        <w:spacing w:line="360" w:lineRule="auto"/>
        <w:ind w:right="375"/>
        <w:jc w:val="both"/>
        <w:rPr>
          <w:i/>
          <w:sz w:val="24"/>
          <w:szCs w:val="24"/>
          <w:lang w:val="sq-AL"/>
        </w:rPr>
      </w:pPr>
      <w:r w:rsidRPr="00112357">
        <w:rPr>
          <w:sz w:val="24"/>
          <w:szCs w:val="24"/>
          <w:lang w:val="sq-AL"/>
        </w:rPr>
        <w:t>P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>r pagesat e TMB t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 xml:space="preserve"> sjell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 xml:space="preserve"> list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 xml:space="preserve"> t</w:t>
      </w:r>
      <w:r w:rsidR="004D430A" w:rsidRPr="00112357">
        <w:rPr>
          <w:sz w:val="24"/>
          <w:szCs w:val="24"/>
          <w:lang w:val="sq-AL"/>
        </w:rPr>
        <w:t xml:space="preserve">ë </w:t>
      </w:r>
      <w:r w:rsidRPr="00112357">
        <w:rPr>
          <w:sz w:val="24"/>
          <w:szCs w:val="24"/>
          <w:lang w:val="sq-AL"/>
        </w:rPr>
        <w:t>detajuar n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 xml:space="preserve"> excel me emrat e t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 xml:space="preserve"> gjith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 xml:space="preserve"> personave p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>r t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 xml:space="preserve"> cil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 xml:space="preserve">t 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>sht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 xml:space="preserve"> mbajtur TMB, formularin e deklarimit, urdh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>r pages</w:t>
      </w:r>
      <w:r w:rsidR="004D430A" w:rsidRPr="00112357">
        <w:rPr>
          <w:sz w:val="24"/>
          <w:szCs w:val="24"/>
          <w:lang w:val="sq-AL"/>
        </w:rPr>
        <w:t>ë</w:t>
      </w:r>
      <w:r w:rsidRPr="00112357">
        <w:rPr>
          <w:sz w:val="24"/>
          <w:szCs w:val="24"/>
          <w:lang w:val="sq-AL"/>
        </w:rPr>
        <w:t>n dhe njoftim debitimi</w:t>
      </w:r>
      <w:r w:rsidR="00803815">
        <w:rPr>
          <w:sz w:val="24"/>
          <w:szCs w:val="24"/>
          <w:lang w:val="sq-AL"/>
        </w:rPr>
        <w:t>.</w:t>
      </w:r>
      <w:r w:rsidR="001906D1" w:rsidRPr="00112357">
        <w:rPr>
          <w:sz w:val="24"/>
          <w:szCs w:val="24"/>
          <w:lang w:val="sq-AL"/>
        </w:rPr>
        <w:br/>
      </w:r>
      <w:r w:rsidR="001906D1" w:rsidRPr="00112357">
        <w:rPr>
          <w:i/>
          <w:sz w:val="24"/>
          <w:szCs w:val="24"/>
          <w:lang w:val="sq-AL"/>
        </w:rPr>
        <w:t>*</w:t>
      </w:r>
      <w:r w:rsidRPr="00112357">
        <w:rPr>
          <w:i/>
          <w:sz w:val="24"/>
          <w:szCs w:val="24"/>
          <w:lang w:val="sq-AL"/>
        </w:rPr>
        <w:t>Forma e unifikuar do t</w:t>
      </w:r>
      <w:r w:rsidR="00803815">
        <w:rPr>
          <w:i/>
          <w:sz w:val="24"/>
          <w:szCs w:val="24"/>
          <w:lang w:val="sq-AL"/>
        </w:rPr>
        <w:t>ë</w:t>
      </w:r>
      <w:r w:rsidRPr="00112357">
        <w:rPr>
          <w:i/>
          <w:sz w:val="24"/>
          <w:szCs w:val="24"/>
          <w:lang w:val="sq-AL"/>
        </w:rPr>
        <w:t xml:space="preserve"> jepet</w:t>
      </w:r>
      <w:r w:rsidR="0013322C">
        <w:rPr>
          <w:i/>
          <w:sz w:val="24"/>
          <w:szCs w:val="24"/>
          <w:lang w:val="sq-AL"/>
        </w:rPr>
        <w:t xml:space="preserve"> nëpërmjet faqes zyrtare të</w:t>
      </w:r>
      <w:r w:rsidRPr="00112357">
        <w:rPr>
          <w:i/>
          <w:sz w:val="24"/>
          <w:szCs w:val="24"/>
          <w:lang w:val="sq-AL"/>
        </w:rPr>
        <w:t xml:space="preserve"> AKR</w:t>
      </w:r>
      <w:r w:rsidR="0013322C">
        <w:rPr>
          <w:i/>
          <w:sz w:val="24"/>
          <w:szCs w:val="24"/>
          <w:lang w:val="sq-AL"/>
        </w:rPr>
        <w:t>-së.</w:t>
      </w:r>
    </w:p>
    <w:p w14:paraId="7E87A25C" w14:textId="77777777" w:rsidR="001906D1" w:rsidRPr="00112357" w:rsidRDefault="001906D1" w:rsidP="001906D1">
      <w:pPr>
        <w:pStyle w:val="CommentText"/>
        <w:spacing w:line="360" w:lineRule="auto"/>
        <w:ind w:left="450" w:right="375"/>
        <w:jc w:val="both"/>
        <w:rPr>
          <w:sz w:val="24"/>
          <w:szCs w:val="24"/>
          <w:lang w:val="sq-AL"/>
        </w:rPr>
      </w:pPr>
    </w:p>
    <w:tbl>
      <w:tblPr>
        <w:tblW w:w="99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E87361" w:rsidRPr="00112357" w14:paraId="2B8837B1" w14:textId="77777777" w:rsidTr="00E87361">
        <w:trPr>
          <w:tblCellSpacing w:w="0" w:type="dxa"/>
          <w:jc w:val="center"/>
        </w:trPr>
        <w:tc>
          <w:tcPr>
            <w:tcW w:w="9915" w:type="dxa"/>
            <w:vAlign w:val="center"/>
            <w:hideMark/>
          </w:tcPr>
          <w:p w14:paraId="68A56107" w14:textId="41AFDD24" w:rsidR="00E87361" w:rsidRPr="00112357" w:rsidRDefault="001906D1" w:rsidP="005A7000">
            <w:pPr>
              <w:pStyle w:val="CommentText"/>
              <w:spacing w:line="360" w:lineRule="auto"/>
              <w:ind w:right="375"/>
              <w:jc w:val="both"/>
              <w:rPr>
                <w:sz w:val="24"/>
                <w:szCs w:val="24"/>
                <w:lang w:val="sq-AL"/>
              </w:rPr>
            </w:pPr>
            <w:r w:rsidRPr="00112357">
              <w:rPr>
                <w:b/>
                <w:sz w:val="24"/>
                <w:szCs w:val="24"/>
                <w:lang w:val="sq-AL"/>
              </w:rPr>
              <w:t>1.3</w:t>
            </w:r>
            <w:r w:rsidRPr="00112357">
              <w:rPr>
                <w:sz w:val="24"/>
                <w:szCs w:val="24"/>
                <w:lang w:val="sq-AL"/>
              </w:rPr>
              <w:t xml:space="preserve"> </w:t>
            </w:r>
            <w:r w:rsidR="00E87361" w:rsidRPr="00112357">
              <w:rPr>
                <w:sz w:val="24"/>
                <w:szCs w:val="24"/>
                <w:lang w:val="sq-AL"/>
              </w:rPr>
              <w:t xml:space="preserve">Grantmarrësi duhet të kontabilizojë veçmas fondet e grantit të përfituar nga Grantdhënësi. Grantmarrësi është i detyruar të mbajë një llogari bankare të veçantë për fondin e </w:t>
            </w:r>
            <w:r w:rsidR="0013322C">
              <w:rPr>
                <w:sz w:val="24"/>
                <w:szCs w:val="24"/>
                <w:lang w:val="sq-AL"/>
              </w:rPr>
              <w:t>G</w:t>
            </w:r>
            <w:r w:rsidR="00E87361" w:rsidRPr="00112357">
              <w:rPr>
                <w:sz w:val="24"/>
                <w:szCs w:val="24"/>
                <w:lang w:val="sq-AL"/>
              </w:rPr>
              <w:t>rantit të përfituar nga AKR.  Grantmarrësi duhet të sjell</w:t>
            </w:r>
            <w:r w:rsidRPr="00112357">
              <w:rPr>
                <w:sz w:val="24"/>
                <w:szCs w:val="24"/>
                <w:lang w:val="sq-AL"/>
              </w:rPr>
              <w:t>ë</w:t>
            </w:r>
            <w:r w:rsidR="00E87361" w:rsidRPr="00112357">
              <w:rPr>
                <w:sz w:val="24"/>
                <w:szCs w:val="24"/>
                <w:lang w:val="sq-AL"/>
              </w:rPr>
              <w:t xml:space="preserve"> pasqyr</w:t>
            </w:r>
            <w:r w:rsidRPr="00112357">
              <w:rPr>
                <w:sz w:val="24"/>
                <w:szCs w:val="24"/>
                <w:lang w:val="sq-AL"/>
              </w:rPr>
              <w:t>ë</w:t>
            </w:r>
            <w:r w:rsidR="00E87361" w:rsidRPr="00112357">
              <w:rPr>
                <w:sz w:val="24"/>
                <w:szCs w:val="24"/>
                <w:lang w:val="sq-AL"/>
              </w:rPr>
              <w:t xml:space="preserve"> të llogaris</w:t>
            </w:r>
            <w:r w:rsidRPr="00112357">
              <w:rPr>
                <w:sz w:val="24"/>
                <w:szCs w:val="24"/>
                <w:lang w:val="sq-AL"/>
              </w:rPr>
              <w:t>ë</w:t>
            </w:r>
            <w:r w:rsidR="00E87361" w:rsidRPr="00112357">
              <w:rPr>
                <w:sz w:val="24"/>
                <w:szCs w:val="24"/>
                <w:lang w:val="sq-AL"/>
              </w:rPr>
              <w:t xml:space="preserve"> për </w:t>
            </w:r>
            <w:r w:rsidRPr="00112357">
              <w:rPr>
                <w:sz w:val="24"/>
                <w:szCs w:val="24"/>
                <w:lang w:val="sq-AL"/>
              </w:rPr>
              <w:t>ç</w:t>
            </w:r>
            <w:r w:rsidR="00E87361" w:rsidRPr="00112357">
              <w:rPr>
                <w:sz w:val="24"/>
                <w:szCs w:val="24"/>
                <w:lang w:val="sq-AL"/>
              </w:rPr>
              <w:t>do faz</w:t>
            </w:r>
            <w:r w:rsidRPr="00112357">
              <w:rPr>
                <w:sz w:val="24"/>
                <w:szCs w:val="24"/>
                <w:lang w:val="sq-AL"/>
              </w:rPr>
              <w:t>ë</w:t>
            </w:r>
            <w:r w:rsidR="00E87361" w:rsidRPr="00112357">
              <w:rPr>
                <w:sz w:val="24"/>
                <w:szCs w:val="24"/>
                <w:lang w:val="sq-AL"/>
              </w:rPr>
              <w:t xml:space="preserve"> raportimi.</w:t>
            </w:r>
          </w:p>
        </w:tc>
      </w:tr>
      <w:tr w:rsidR="00E87361" w:rsidRPr="00112357" w14:paraId="2F8AEF3D" w14:textId="77777777" w:rsidTr="00E87361">
        <w:trPr>
          <w:tblCellSpacing w:w="0" w:type="dxa"/>
          <w:jc w:val="center"/>
        </w:trPr>
        <w:tc>
          <w:tcPr>
            <w:tcW w:w="9915" w:type="dxa"/>
            <w:vAlign w:val="center"/>
          </w:tcPr>
          <w:p w14:paraId="23CD4C3B" w14:textId="77777777" w:rsidR="00E87361" w:rsidRPr="00112357" w:rsidRDefault="00E87361" w:rsidP="005A7000">
            <w:pPr>
              <w:spacing w:line="360" w:lineRule="auto"/>
              <w:ind w:right="375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Kostot administrative (qera zyre, mirëmbajtje zyre, energji elektrike, ujë (UKT), pagesa e financierit dhe drejtuesit të projektit) nuk mund të kalojnë 25% të vlerës totale të buxhetit.</w:t>
            </w:r>
          </w:p>
          <w:p w14:paraId="15F23F7D" w14:textId="00140A9F" w:rsidR="00E87361" w:rsidRPr="00112357" w:rsidRDefault="00E87361" w:rsidP="002F54D1">
            <w:pPr>
              <w:pStyle w:val="CommentText"/>
              <w:spacing w:line="360" w:lineRule="auto"/>
              <w:ind w:right="645"/>
              <w:jc w:val="both"/>
              <w:rPr>
                <w:sz w:val="24"/>
                <w:szCs w:val="24"/>
                <w:lang w:val="sq-AL"/>
              </w:rPr>
            </w:pPr>
            <w:r w:rsidRPr="00112357">
              <w:rPr>
                <w:sz w:val="24"/>
                <w:szCs w:val="24"/>
                <w:lang w:val="sq-AL"/>
              </w:rPr>
              <w:lastRenderedPageBreak/>
              <w:t>AKR inkurajon grantmarr</w:t>
            </w:r>
            <w:r w:rsidR="001906D1" w:rsidRPr="00112357">
              <w:rPr>
                <w:sz w:val="24"/>
                <w:szCs w:val="24"/>
                <w:lang w:val="sq-AL"/>
              </w:rPr>
              <w:t>ë</w:t>
            </w:r>
            <w:r w:rsidRPr="00112357">
              <w:rPr>
                <w:sz w:val="24"/>
                <w:szCs w:val="24"/>
                <w:lang w:val="sq-AL"/>
              </w:rPr>
              <w:t>sin q</w:t>
            </w:r>
            <w:r w:rsidR="001906D1" w:rsidRPr="00112357">
              <w:rPr>
                <w:sz w:val="24"/>
                <w:szCs w:val="24"/>
                <w:lang w:val="sq-AL"/>
              </w:rPr>
              <w:t>ë</w:t>
            </w:r>
            <w:r w:rsidRPr="00112357">
              <w:rPr>
                <w:sz w:val="24"/>
                <w:szCs w:val="24"/>
                <w:lang w:val="sq-AL"/>
              </w:rPr>
              <w:t xml:space="preserve"> t</w:t>
            </w:r>
            <w:r w:rsidR="001906D1" w:rsidRPr="00112357">
              <w:rPr>
                <w:sz w:val="24"/>
                <w:szCs w:val="24"/>
                <w:lang w:val="sq-AL"/>
              </w:rPr>
              <w:t>ë</w:t>
            </w:r>
            <w:r w:rsidRPr="00112357">
              <w:rPr>
                <w:sz w:val="24"/>
                <w:szCs w:val="24"/>
                <w:lang w:val="sq-AL"/>
              </w:rPr>
              <w:t xml:space="preserve"> gjitha pagesat t</w:t>
            </w:r>
            <w:r w:rsidR="001906D1" w:rsidRPr="00112357">
              <w:rPr>
                <w:sz w:val="24"/>
                <w:szCs w:val="24"/>
                <w:lang w:val="sq-AL"/>
              </w:rPr>
              <w:t>ë</w:t>
            </w:r>
            <w:r w:rsidRPr="00112357">
              <w:rPr>
                <w:sz w:val="24"/>
                <w:szCs w:val="24"/>
                <w:lang w:val="sq-AL"/>
              </w:rPr>
              <w:t xml:space="preserve"> kryen n</w:t>
            </w:r>
            <w:r w:rsidR="001906D1" w:rsidRPr="00112357">
              <w:rPr>
                <w:sz w:val="24"/>
                <w:szCs w:val="24"/>
                <w:lang w:val="sq-AL"/>
              </w:rPr>
              <w:t>ë</w:t>
            </w:r>
            <w:r w:rsidRPr="00112357">
              <w:rPr>
                <w:sz w:val="24"/>
                <w:szCs w:val="24"/>
                <w:lang w:val="sq-AL"/>
              </w:rPr>
              <w:t>p</w:t>
            </w:r>
            <w:r w:rsidR="001906D1" w:rsidRPr="00112357">
              <w:rPr>
                <w:sz w:val="24"/>
                <w:szCs w:val="24"/>
                <w:lang w:val="sq-AL"/>
              </w:rPr>
              <w:t>ë</w:t>
            </w:r>
            <w:r w:rsidRPr="00112357">
              <w:rPr>
                <w:sz w:val="24"/>
                <w:szCs w:val="24"/>
                <w:lang w:val="sq-AL"/>
              </w:rPr>
              <w:t>rmjet llogaris</w:t>
            </w:r>
            <w:r w:rsidR="001906D1" w:rsidRPr="00112357">
              <w:rPr>
                <w:sz w:val="24"/>
                <w:szCs w:val="24"/>
                <w:lang w:val="sq-AL"/>
              </w:rPr>
              <w:t>ë</w:t>
            </w:r>
            <w:r w:rsidRPr="00112357">
              <w:rPr>
                <w:sz w:val="24"/>
                <w:szCs w:val="24"/>
                <w:lang w:val="sq-AL"/>
              </w:rPr>
              <w:t xml:space="preserve"> bankare. Grantmarrësi detyrohet që të gjitha pagesat mbi shumën 30.000 lek</w:t>
            </w:r>
            <w:r w:rsidR="001906D1" w:rsidRPr="00112357">
              <w:rPr>
                <w:sz w:val="24"/>
                <w:szCs w:val="24"/>
                <w:lang w:val="sq-AL"/>
              </w:rPr>
              <w:t>ë</w:t>
            </w:r>
            <w:r w:rsidRPr="00112357">
              <w:rPr>
                <w:sz w:val="24"/>
                <w:szCs w:val="24"/>
                <w:lang w:val="sq-AL"/>
              </w:rPr>
              <w:t xml:space="preserve"> ti kryejë nëpërmjet llogarisë bankare (transfertë bankare ose çek bankar). Nuk do t</w:t>
            </w:r>
            <w:r w:rsidR="0013322C">
              <w:rPr>
                <w:sz w:val="24"/>
                <w:szCs w:val="24"/>
                <w:lang w:val="sq-AL"/>
              </w:rPr>
              <w:t>ë</w:t>
            </w:r>
            <w:r w:rsidRPr="00112357">
              <w:rPr>
                <w:sz w:val="24"/>
                <w:szCs w:val="24"/>
                <w:lang w:val="sq-AL"/>
              </w:rPr>
              <w:t xml:space="preserve"> njihen pagesat nga arka p</w:t>
            </w:r>
            <w:r w:rsidR="001906D1" w:rsidRPr="00112357">
              <w:rPr>
                <w:sz w:val="24"/>
                <w:szCs w:val="24"/>
                <w:lang w:val="sq-AL"/>
              </w:rPr>
              <w:t>ë</w:t>
            </w:r>
            <w:r w:rsidRPr="00112357">
              <w:rPr>
                <w:sz w:val="24"/>
                <w:szCs w:val="24"/>
                <w:lang w:val="sq-AL"/>
              </w:rPr>
              <w:t>r shuma mbi 30.000 lek</w:t>
            </w:r>
            <w:r w:rsidR="001906D1" w:rsidRPr="00112357">
              <w:rPr>
                <w:sz w:val="24"/>
                <w:szCs w:val="24"/>
                <w:lang w:val="sq-AL"/>
              </w:rPr>
              <w:t>ë</w:t>
            </w:r>
            <w:r w:rsidRPr="00112357">
              <w:rPr>
                <w:sz w:val="24"/>
                <w:szCs w:val="24"/>
                <w:lang w:val="sq-AL"/>
              </w:rPr>
              <w:t>. Grantmarrësi duhet të paraqesë kopje të mandateve të pagesave për veprimet financiare të kryera nëpërmjet bankës.</w:t>
            </w:r>
          </w:p>
          <w:p w14:paraId="097A5FE7" w14:textId="5695C677" w:rsidR="00E87361" w:rsidRPr="00112357" w:rsidRDefault="00E87361" w:rsidP="002F54D1">
            <w:pPr>
              <w:spacing w:line="360" w:lineRule="auto"/>
              <w:ind w:right="375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Pagesa e ekspertëve kryhet nëpërmjet llogarisë bankare, pavarësisht nga vlera e saj. N</w:t>
            </w:r>
            <w:r w:rsidR="001906D1"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rastet kur pagesa n</w:t>
            </w:r>
            <w:r w:rsidR="001906D1"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</w:t>
            </w:r>
            <w:r w:rsidR="001906D1"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rmjet bank</w:t>
            </w:r>
            <w:r w:rsidR="001906D1"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 konsiderohet e pamundur, at</w:t>
            </w:r>
            <w:r w:rsidR="001906D1"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</w:t>
            </w:r>
            <w:r w:rsidR="001906D1"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mund t</w:t>
            </w:r>
            <w:r w:rsidR="001906D1"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paguhet me </w:t>
            </w:r>
            <w:r w:rsid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ç</w:t>
            </w: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ek q</w:t>
            </w:r>
            <w:r w:rsidR="001906D1"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do t</w:t>
            </w:r>
            <w:r w:rsidR="001906D1"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shoq</w:t>
            </w:r>
            <w:r w:rsidR="001906D1"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rohet me pasqyr</w:t>
            </w:r>
            <w:r w:rsidR="001906D1"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</w:t>
            </w:r>
            <w:r w:rsidR="0013322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llogaris</w:t>
            </w:r>
            <w:r w:rsidR="001906D1"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bankare.</w:t>
            </w:r>
            <w:r w:rsidR="0013322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Në rastet kur pagesa nëpërmjet bankës/</w:t>
            </w:r>
            <w:r w:rsid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ç</w:t>
            </w: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ek konsiderohet e pamundur, atëherë Grantmarrësi konsultohet me Grantdhënësin dhe mund të kryejë pagesën në formë tjetër pas miratimit paraprak me shkrim nga Grantdhënësi</w:t>
            </w:r>
            <w:r w:rsid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  <w:p w14:paraId="3CA0F394" w14:textId="5BF095C1" w:rsidR="00112357" w:rsidRPr="00112357" w:rsidRDefault="00112357" w:rsidP="00112357">
            <w:pPr>
              <w:spacing w:line="360" w:lineRule="auto"/>
              <w:ind w:right="645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1235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1.4 </w:t>
            </w: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Grantmarrësi detyrohet që të shoqërojë me faturë tatimore pagesat për blerjet e ndryshme që kryen në kuadër të grantit të marrë:  </w:t>
            </w:r>
          </w:p>
          <w:p w14:paraId="05AD5654" w14:textId="77777777" w:rsidR="00112357" w:rsidRPr="00112357" w:rsidRDefault="00112357" w:rsidP="0011235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right="645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për pagesat me cash: kupon tatimor dhe fatura e biznesit; </w:t>
            </w:r>
          </w:p>
          <w:p w14:paraId="65D58BA9" w14:textId="77777777" w:rsidR="00112357" w:rsidRDefault="00112357" w:rsidP="0011235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right="645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 pagesat me bankë: faturë tatimore biznesi (biznes i madh ose i vogël) dhe transfertë bankare.</w:t>
            </w:r>
          </w:p>
          <w:p w14:paraId="4C5BC69C" w14:textId="77777777" w:rsidR="00112357" w:rsidRPr="00112357" w:rsidRDefault="00112357" w:rsidP="00112357">
            <w:pPr>
              <w:spacing w:line="360" w:lineRule="auto"/>
              <w:ind w:right="64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*</w:t>
            </w:r>
            <w:r w:rsidRPr="00112357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Çdo faturë duhet të shoqërohet me dokumentacionin mbështetës të aktivitetit (p.sh. lista e pjesëmarrësve, rendi i ditës, foto, produkte, etj). </w:t>
            </w:r>
          </w:p>
          <w:p w14:paraId="77DF1DF1" w14:textId="0D59854D" w:rsidR="00112357" w:rsidRPr="00112357" w:rsidRDefault="00112357" w:rsidP="00112357">
            <w:pPr>
              <w:spacing w:line="360" w:lineRule="auto"/>
              <w:ind w:right="555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1235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1.5 </w:t>
            </w: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Shpenzimi i kryer për transport duhet të vërtetohet:</w:t>
            </w:r>
          </w:p>
          <w:p w14:paraId="458CAD7F" w14:textId="77777777" w:rsidR="00112357" w:rsidRPr="00112357" w:rsidRDefault="00112357" w:rsidP="00112357">
            <w:pPr>
              <w:numPr>
                <w:ilvl w:val="0"/>
                <w:numId w:val="9"/>
              </w:numPr>
              <w:spacing w:after="0" w:line="360" w:lineRule="auto"/>
              <w:ind w:right="555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 biletën/biletat respektive në rastin e përdorimit të transportit publik;</w:t>
            </w:r>
          </w:p>
          <w:p w14:paraId="40E8C039" w14:textId="0A143749" w:rsidR="00112357" w:rsidRPr="0013322C" w:rsidRDefault="00112357" w:rsidP="0013322C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64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 faturën e TVSH</w:t>
            </w:r>
            <w:r w:rsidR="0013322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-së</w:t>
            </w: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në rastet e përdorimit të</w:t>
            </w:r>
            <w:r w:rsidRPr="0013322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mjeteve të disponuara, për të cilat blihet karburant/kuponat. Në këtë rast, grantmarrësi duhet të paraqesë edhe regjistrin e lëvizjes së automjetit/eve (ku do të regjistrohen kilometrat e përshkruara, personat që kanë udhëtuar, datat dhe arsyet e udhëtimit.</w:t>
            </w:r>
          </w:p>
          <w:p w14:paraId="121E6B12" w14:textId="77777777" w:rsidR="002F54D1" w:rsidRDefault="00C86F3A" w:rsidP="002F54D1">
            <w:pPr>
              <w:spacing w:line="360" w:lineRule="auto"/>
              <w:ind w:right="55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*</w:t>
            </w:r>
            <w:r w:rsidR="00112357" w:rsidRPr="00C86F3A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AKR njeh pagesën e dietave për stafin e projektit të përfshirë në listëpagesat e organizatës të angazhuar në projekt.</w:t>
            </w:r>
          </w:p>
          <w:p w14:paraId="2CB0CBE3" w14:textId="77777777" w:rsidR="002F54D1" w:rsidRDefault="002F54D1" w:rsidP="002F54D1">
            <w:pPr>
              <w:spacing w:line="360" w:lineRule="auto"/>
              <w:ind w:right="55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14:paraId="7EF00B77" w14:textId="77777777" w:rsidR="002F54D1" w:rsidRDefault="002F54D1" w:rsidP="002F54D1">
            <w:pPr>
              <w:spacing w:line="360" w:lineRule="auto"/>
              <w:ind w:right="555"/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14:paraId="2860E183" w14:textId="158A8A80" w:rsidR="00112357" w:rsidRPr="002F54D1" w:rsidRDefault="00C86F3A" w:rsidP="002F54D1">
            <w:pPr>
              <w:spacing w:line="360" w:lineRule="auto"/>
              <w:ind w:right="55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C86F3A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lastRenderedPageBreak/>
              <w:t>1.6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112357"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Grantmarrësi nënshkruan kontratë të veçantë për çdo ekspert të angazhuar në kuadër të projektit, për kryerjen e një shërbimi bazuar në buxhetin e miratuar. Kontrata specifikon qartësisht: </w:t>
            </w:r>
          </w:p>
          <w:p w14:paraId="27B820AE" w14:textId="77777777" w:rsidR="00112357" w:rsidRPr="00112357" w:rsidRDefault="00112357" w:rsidP="00C86F3A">
            <w:pPr>
              <w:numPr>
                <w:ilvl w:val="0"/>
                <w:numId w:val="10"/>
              </w:numPr>
              <w:spacing w:after="0" w:line="360" w:lineRule="auto"/>
              <w:ind w:right="735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Produktet e pritshme dhe afatet e dorëzimit të produkteve; </w:t>
            </w:r>
          </w:p>
          <w:p w14:paraId="5DCA6EA1" w14:textId="763EC59C" w:rsidR="00112357" w:rsidRDefault="00671C25" w:rsidP="00C86F3A">
            <w:pPr>
              <w:numPr>
                <w:ilvl w:val="0"/>
                <w:numId w:val="10"/>
              </w:numPr>
              <w:spacing w:after="0" w:line="360" w:lineRule="auto"/>
              <w:ind w:right="735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Tarifë</w:t>
            </w:r>
            <w:r w:rsidR="00112357"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ditore, numrin e ditëve të angazh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imit</w:t>
            </w:r>
            <w:r w:rsidR="00112357" w:rsidRPr="0011235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si dhe vlerën e plotë të kontratës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:</w:t>
            </w:r>
          </w:p>
          <w:p w14:paraId="6AAA1A17" w14:textId="6D6AE647" w:rsidR="00C86F3A" w:rsidRPr="00607FD9" w:rsidRDefault="00E25DC5" w:rsidP="00E25DC5">
            <w:pPr>
              <w:numPr>
                <w:ilvl w:val="0"/>
                <w:numId w:val="10"/>
              </w:numPr>
              <w:spacing w:after="0" w:line="360" w:lineRule="auto"/>
              <w:ind w:right="735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007B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Të specifikohet që </w:t>
            </w:r>
            <w:r w:rsidR="00112357" w:rsidRPr="005007B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projekti</w:t>
            </w:r>
            <w:r w:rsidRPr="005007B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112357" w:rsidRPr="005007B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financohet nga buxheti i shtetit nëpërmjet AKR</w:t>
            </w:r>
            <w:r w:rsidR="00551527" w:rsidRPr="005007B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-së</w:t>
            </w:r>
            <w:r w:rsidR="00671C25" w:rsidRPr="005007B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:</w:t>
            </w:r>
            <w:r w:rsidR="00C86F3A" w:rsidRPr="00607FD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br/>
            </w:r>
          </w:p>
          <w:p w14:paraId="1E06F579" w14:textId="00F916C1" w:rsidR="00112357" w:rsidRPr="00C86F3A" w:rsidRDefault="00C86F3A" w:rsidP="00112357">
            <w:pPr>
              <w:spacing w:line="360" w:lineRule="auto"/>
              <w:ind w:right="73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*</w:t>
            </w:r>
            <w:r w:rsidR="00112357" w:rsidRPr="00C86F3A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Kontratës i bashkëlidhet ID e ekspertit të angazhuar. </w:t>
            </w:r>
          </w:p>
          <w:p w14:paraId="63B4F0E8" w14:textId="391124BC" w:rsidR="00E87361" w:rsidRPr="00112357" w:rsidRDefault="00112357" w:rsidP="00C86F3A">
            <w:pPr>
              <w:spacing w:after="0" w:line="360" w:lineRule="auto"/>
              <w:ind w:right="555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86F3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Grantmarrësi mund të angazhojë si ekspert një individ, të përfshirë në listëpagesën e organizatës vetëm nëse angazhimi dhe pagesa e individit pasqyrohet si shtesë në listëpagesën e organizatës</w:t>
            </w:r>
            <w:r w:rsidR="0055152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  <w:r w:rsidR="00C86F3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br/>
            </w:r>
          </w:p>
        </w:tc>
        <w:bookmarkStart w:id="0" w:name="_GoBack"/>
        <w:bookmarkEnd w:id="0"/>
      </w:tr>
    </w:tbl>
    <w:p w14:paraId="0008D3C7" w14:textId="3CC4E84A" w:rsidR="00F9011E" w:rsidRDefault="00E87361" w:rsidP="005A7000">
      <w:pPr>
        <w:spacing w:line="360" w:lineRule="auto"/>
        <w:ind w:left="-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B582A">
        <w:rPr>
          <w:rFonts w:ascii="Times New Roman" w:hAnsi="Times New Roman" w:cs="Times New Roman"/>
          <w:sz w:val="24"/>
          <w:szCs w:val="24"/>
          <w:lang w:val="sq-AL"/>
        </w:rPr>
        <w:lastRenderedPageBreak/>
        <w:t>Grantmarrësi detyrohet të paraqesë pranë AKR</w:t>
      </w:r>
      <w:r w:rsidR="00551527">
        <w:rPr>
          <w:rFonts w:ascii="Times New Roman" w:hAnsi="Times New Roman" w:cs="Times New Roman"/>
          <w:sz w:val="24"/>
          <w:szCs w:val="24"/>
          <w:lang w:val="sq-AL"/>
        </w:rPr>
        <w:t xml:space="preserve">-së </w:t>
      </w:r>
      <w:r w:rsidRPr="004B582A">
        <w:rPr>
          <w:rFonts w:ascii="Times New Roman" w:hAnsi="Times New Roman" w:cs="Times New Roman"/>
          <w:sz w:val="24"/>
          <w:szCs w:val="24"/>
          <w:lang w:val="sq-AL"/>
        </w:rPr>
        <w:t>faturat origjinale.  Faturat origjinale do t’i kthehen Grantmarrësit pasi të jenë fotokopjuar dhe vulosur nga AKR</w:t>
      </w:r>
      <w:r w:rsidR="00551527">
        <w:rPr>
          <w:rFonts w:ascii="Times New Roman" w:hAnsi="Times New Roman" w:cs="Times New Roman"/>
          <w:sz w:val="24"/>
          <w:szCs w:val="24"/>
          <w:lang w:val="sq-AL"/>
        </w:rPr>
        <w:t>-ja.</w:t>
      </w:r>
    </w:p>
    <w:p w14:paraId="6910430F" w14:textId="77777777" w:rsidR="00551527" w:rsidRPr="004B582A" w:rsidRDefault="00551527" w:rsidP="005A7000">
      <w:pPr>
        <w:spacing w:line="360" w:lineRule="auto"/>
        <w:ind w:left="-270"/>
        <w:jc w:val="both"/>
        <w:rPr>
          <w:rStyle w:val="normaltextrun"/>
          <w:rFonts w:ascii="Times New Roman" w:hAnsi="Times New Roman" w:cs="Times New Roman"/>
          <w:sz w:val="24"/>
          <w:szCs w:val="24"/>
          <w:lang w:val="sq-AL"/>
        </w:rPr>
      </w:pPr>
    </w:p>
    <w:p w14:paraId="6DB119E2" w14:textId="1DE4419C" w:rsidR="004B582A" w:rsidRPr="00FD5773" w:rsidRDefault="00F9011E" w:rsidP="00FD5773">
      <w:pPr>
        <w:pStyle w:val="ListParagraph"/>
        <w:numPr>
          <w:ilvl w:val="0"/>
          <w:numId w:val="3"/>
        </w:numPr>
        <w:spacing w:line="360" w:lineRule="auto"/>
        <w:jc w:val="both"/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FD5773">
        <w:rPr>
          <w:rStyle w:val="normaltextrun"/>
          <w:rFonts w:ascii="Times New Roman" w:hAnsi="Times New Roman" w:cs="Times New Roman"/>
          <w:b/>
          <w:bCs/>
          <w:sz w:val="24"/>
          <w:szCs w:val="24"/>
          <w:lang w:val="sq-AL"/>
        </w:rPr>
        <w:t>Pagesat e granteve</w:t>
      </w:r>
      <w:r w:rsidRPr="00FD5773">
        <w:rPr>
          <w:rStyle w:val="eop"/>
          <w:rFonts w:ascii="Times New Roman" w:hAnsi="Times New Roman" w:cs="Times New Roman"/>
          <w:b/>
          <w:sz w:val="24"/>
          <w:szCs w:val="24"/>
        </w:rPr>
        <w:t>  </w:t>
      </w:r>
    </w:p>
    <w:p w14:paraId="3E3AF3D5" w14:textId="18E6655E" w:rsidR="004B582A" w:rsidRPr="004D430A" w:rsidRDefault="00FD5773" w:rsidP="005A7000">
      <w:pPr>
        <w:spacing w:line="360" w:lineRule="auto"/>
        <w:ind w:left="-270"/>
        <w:jc w:val="both"/>
        <w:rPr>
          <w:rStyle w:val="normaltextrun"/>
          <w:rFonts w:ascii="Times New Roman" w:hAnsi="Times New Roman" w:cs="Times New Roman"/>
          <w:sz w:val="24"/>
          <w:szCs w:val="24"/>
          <w:lang w:val="sq-AL"/>
        </w:rPr>
      </w:pPr>
      <w:r w:rsidRPr="00FD5773">
        <w:rPr>
          <w:rStyle w:val="normaltextrun"/>
          <w:rFonts w:ascii="Times New Roman" w:hAnsi="Times New Roman" w:cs="Times New Roman"/>
          <w:b/>
          <w:sz w:val="24"/>
          <w:szCs w:val="24"/>
          <w:lang w:val="sq-AL"/>
        </w:rPr>
        <w:t>2.1</w:t>
      </w:r>
      <w:r>
        <w:rPr>
          <w:rStyle w:val="normaltextrun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51527">
        <w:rPr>
          <w:rStyle w:val="normaltextrun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9011E" w:rsidRPr="004D430A">
        <w:rPr>
          <w:rStyle w:val="normaltextrun"/>
          <w:rFonts w:ascii="Times New Roman" w:hAnsi="Times New Roman" w:cs="Times New Roman"/>
          <w:sz w:val="24"/>
          <w:szCs w:val="24"/>
          <w:lang w:val="sq-AL"/>
        </w:rPr>
        <w:t>AKR do t</w:t>
      </w:r>
      <w:r w:rsidR="004D430A" w:rsidRPr="004D430A">
        <w:rPr>
          <w:rStyle w:val="normaltextrun"/>
          <w:rFonts w:ascii="Times New Roman" w:hAnsi="Times New Roman" w:cs="Times New Roman"/>
          <w:sz w:val="24"/>
          <w:szCs w:val="24"/>
          <w:lang w:val="sq-AL"/>
        </w:rPr>
        <w:t>ë</w:t>
      </w:r>
      <w:r w:rsidR="00F9011E" w:rsidRPr="004D430A">
        <w:rPr>
          <w:rStyle w:val="normaltextrun"/>
          <w:rFonts w:ascii="Times New Roman" w:hAnsi="Times New Roman" w:cs="Times New Roman"/>
          <w:sz w:val="24"/>
          <w:szCs w:val="24"/>
          <w:lang w:val="sq-AL"/>
        </w:rPr>
        <w:t xml:space="preserve"> zbatoj</w:t>
      </w:r>
      <w:r w:rsidR="004D430A" w:rsidRPr="004D430A">
        <w:rPr>
          <w:rStyle w:val="normaltextrun"/>
          <w:rFonts w:ascii="Times New Roman" w:hAnsi="Times New Roman" w:cs="Times New Roman"/>
          <w:sz w:val="24"/>
          <w:szCs w:val="24"/>
          <w:lang w:val="sq-AL"/>
        </w:rPr>
        <w:t>ë</w:t>
      </w:r>
      <w:r w:rsidR="00F9011E" w:rsidRPr="004D430A">
        <w:rPr>
          <w:rStyle w:val="normaltextrun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76EA2" w:rsidRPr="004D430A">
        <w:rPr>
          <w:rStyle w:val="normaltextrun"/>
          <w:rFonts w:ascii="Times New Roman" w:hAnsi="Times New Roman" w:cs="Times New Roman"/>
          <w:sz w:val="24"/>
          <w:szCs w:val="24"/>
          <w:lang w:val="sq-AL"/>
        </w:rPr>
        <w:t xml:space="preserve">VKM </w:t>
      </w:r>
      <w:r w:rsidR="00551527">
        <w:rPr>
          <w:rStyle w:val="normaltextrun"/>
          <w:rFonts w:ascii="Times New Roman" w:hAnsi="Times New Roman" w:cs="Times New Roman"/>
          <w:sz w:val="24"/>
          <w:szCs w:val="24"/>
          <w:lang w:val="sq-AL"/>
        </w:rPr>
        <w:t>n</w:t>
      </w:r>
      <w:r w:rsidR="00576EA2" w:rsidRPr="004D430A">
        <w:rPr>
          <w:rStyle w:val="normaltextrun"/>
          <w:rFonts w:ascii="Times New Roman" w:hAnsi="Times New Roman" w:cs="Times New Roman"/>
          <w:sz w:val="24"/>
          <w:szCs w:val="24"/>
          <w:lang w:val="sq-AL"/>
        </w:rPr>
        <w:t>r</w:t>
      </w:r>
      <w:r w:rsidR="00551527">
        <w:rPr>
          <w:rStyle w:val="normaltextrun"/>
          <w:rFonts w:ascii="Times New Roman" w:hAnsi="Times New Roman" w:cs="Times New Roman"/>
          <w:sz w:val="24"/>
          <w:szCs w:val="24"/>
          <w:lang w:val="sq-AL"/>
        </w:rPr>
        <w:t>.</w:t>
      </w:r>
      <w:r w:rsidR="00576EA2" w:rsidRPr="004D430A">
        <w:rPr>
          <w:rStyle w:val="normaltextrun"/>
          <w:rFonts w:ascii="Times New Roman" w:hAnsi="Times New Roman" w:cs="Times New Roman"/>
          <w:sz w:val="24"/>
          <w:szCs w:val="24"/>
          <w:lang w:val="sq-AL"/>
        </w:rPr>
        <w:t xml:space="preserve"> 1141 dat</w:t>
      </w:r>
      <w:r w:rsidR="004D430A" w:rsidRPr="004D430A">
        <w:rPr>
          <w:rStyle w:val="normaltextrun"/>
          <w:rFonts w:ascii="Times New Roman" w:hAnsi="Times New Roman" w:cs="Times New Roman"/>
          <w:sz w:val="24"/>
          <w:szCs w:val="24"/>
          <w:lang w:val="sq-AL"/>
        </w:rPr>
        <w:t>ë</w:t>
      </w:r>
      <w:r w:rsidR="00576EA2" w:rsidRPr="004D430A">
        <w:rPr>
          <w:rStyle w:val="normaltextrun"/>
          <w:rFonts w:ascii="Times New Roman" w:hAnsi="Times New Roman" w:cs="Times New Roman"/>
          <w:sz w:val="24"/>
          <w:szCs w:val="24"/>
          <w:lang w:val="sq-AL"/>
        </w:rPr>
        <w:t xml:space="preserve"> 24.12.2020 p</w:t>
      </w:r>
      <w:r w:rsidR="004D430A" w:rsidRPr="004D430A">
        <w:rPr>
          <w:rStyle w:val="normaltextrun"/>
          <w:rFonts w:ascii="Times New Roman" w:hAnsi="Times New Roman" w:cs="Times New Roman"/>
          <w:sz w:val="24"/>
          <w:szCs w:val="24"/>
          <w:lang w:val="sq-AL"/>
        </w:rPr>
        <w:t>ë</w:t>
      </w:r>
      <w:r w:rsidR="00576EA2" w:rsidRPr="004D430A">
        <w:rPr>
          <w:rStyle w:val="normaltextrun"/>
          <w:rFonts w:ascii="Times New Roman" w:hAnsi="Times New Roman" w:cs="Times New Roman"/>
          <w:sz w:val="24"/>
          <w:szCs w:val="24"/>
          <w:lang w:val="sq-AL"/>
        </w:rPr>
        <w:t>r pagesat e k</w:t>
      </w:r>
      <w:r w:rsidR="004D430A" w:rsidRPr="004D430A">
        <w:rPr>
          <w:rStyle w:val="normaltextrun"/>
          <w:rFonts w:ascii="Times New Roman" w:hAnsi="Times New Roman" w:cs="Times New Roman"/>
          <w:sz w:val="24"/>
          <w:szCs w:val="24"/>
          <w:lang w:val="sq-AL"/>
        </w:rPr>
        <w:t>ë</w:t>
      </w:r>
      <w:r w:rsidR="00576EA2" w:rsidRPr="004D430A">
        <w:rPr>
          <w:rStyle w:val="normaltextrun"/>
          <w:rFonts w:ascii="Times New Roman" w:hAnsi="Times New Roman" w:cs="Times New Roman"/>
          <w:sz w:val="24"/>
          <w:szCs w:val="24"/>
          <w:lang w:val="sq-AL"/>
        </w:rPr>
        <w:t>steve t</w:t>
      </w:r>
      <w:r w:rsidR="004D430A" w:rsidRPr="004D430A">
        <w:rPr>
          <w:rStyle w:val="normaltextrun"/>
          <w:rFonts w:ascii="Times New Roman" w:hAnsi="Times New Roman" w:cs="Times New Roman"/>
          <w:sz w:val="24"/>
          <w:szCs w:val="24"/>
          <w:lang w:val="sq-AL"/>
        </w:rPr>
        <w:t>ë</w:t>
      </w:r>
      <w:r w:rsidR="00576EA2" w:rsidRPr="004D430A">
        <w:rPr>
          <w:rStyle w:val="normaltextrun"/>
          <w:rFonts w:ascii="Times New Roman" w:hAnsi="Times New Roman" w:cs="Times New Roman"/>
          <w:sz w:val="24"/>
          <w:szCs w:val="24"/>
          <w:lang w:val="sq-AL"/>
        </w:rPr>
        <w:t xml:space="preserve"> grantit. </w:t>
      </w:r>
    </w:p>
    <w:p w14:paraId="26E641AB" w14:textId="4F676ADA" w:rsidR="002F54D1" w:rsidRDefault="004D430A" w:rsidP="002F54D1">
      <w:pPr>
        <w:spacing w:line="360" w:lineRule="auto"/>
        <w:ind w:left="-270"/>
        <w:jc w:val="both"/>
        <w:rPr>
          <w:color w:val="222222"/>
          <w:sz w:val="24"/>
          <w:szCs w:val="24"/>
          <w:shd w:val="clear" w:color="auto" w:fill="FFFFFF"/>
        </w:rPr>
      </w:pP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zbatim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nenit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37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Ligjit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nr.8788,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17.05.2001 “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Për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organizatat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jofitimprurëse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</w:t>
      </w:r>
      <w:proofErr w:type="spellStart"/>
      <w:r w:rsidR="00FD57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="00FD57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ndryshuar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dhe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pikës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nenit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nr.8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Udhëzimit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nr.22,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19.11.2014 “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Për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Mbikëqyrjen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OJF-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nga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organet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tatimore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funksion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parandalimit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pastrimit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parave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dhe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financimit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terrorizmit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fondet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lëvruara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grant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favor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OJF-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nga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institucioni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AKR  do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mbahen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llogarinë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bankare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OJF-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dhe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D57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ç</w:t>
      </w:r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transferim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apo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transaksion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financiar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lidhje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këto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fonde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kryhet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nëpërmjet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sistemit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bank</w:t>
      </w:r>
      <w:r w:rsidR="00FD57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zbatim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pikës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46.1.11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dhe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49.1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Udhëzimit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nr.24,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02.09.2008</w:t>
      </w:r>
      <w:r w:rsidR="005515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Për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procedurat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tatimore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Republikën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Shqipërisë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</w:t>
      </w:r>
      <w:proofErr w:type="spellStart"/>
      <w:r w:rsidR="00FD57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ndryshuar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organizatat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jofitimprurëse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gjatë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ushtrimit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veprimtarisë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për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financimin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marrë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nga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institucioni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515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="005515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AKR</w:t>
      </w:r>
      <w:r w:rsidR="005515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spellStart"/>
      <w:proofErr w:type="gramStart"/>
      <w:r w:rsidR="005515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duhet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lëshojnë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faturë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thjeshtë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tatimore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="00FD57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ë</w:t>
      </w:r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D57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ç</w:t>
      </w:r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</w:t>
      </w:r>
      <w:r w:rsidR="00FD57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ë</w:t>
      </w:r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FD57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ë</w:t>
      </w:r>
      <w:proofErr w:type="spellEnd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grantit</w:t>
      </w:r>
      <w:proofErr w:type="spellEnd"/>
      <w:r w:rsidRPr="004D430A">
        <w:rPr>
          <w:color w:val="222222"/>
          <w:sz w:val="24"/>
          <w:szCs w:val="24"/>
          <w:shd w:val="clear" w:color="auto" w:fill="FFFFFF"/>
        </w:rPr>
        <w:t xml:space="preserve">. </w:t>
      </w:r>
    </w:p>
    <w:p w14:paraId="203E9B62" w14:textId="1CDBB381" w:rsidR="002F54D1" w:rsidRDefault="002F54D1" w:rsidP="002F54D1">
      <w:pPr>
        <w:spacing w:line="360" w:lineRule="auto"/>
        <w:ind w:left="-270"/>
        <w:jc w:val="both"/>
        <w:rPr>
          <w:rStyle w:val="eop"/>
          <w:color w:val="222222"/>
          <w:sz w:val="24"/>
          <w:szCs w:val="24"/>
          <w:shd w:val="clear" w:color="auto" w:fill="FFFFFF"/>
        </w:rPr>
      </w:pPr>
    </w:p>
    <w:p w14:paraId="7EBD49D7" w14:textId="77777777" w:rsidR="002F54D1" w:rsidRPr="002F54D1" w:rsidRDefault="002F54D1" w:rsidP="00551527">
      <w:pPr>
        <w:spacing w:line="360" w:lineRule="auto"/>
        <w:jc w:val="both"/>
        <w:rPr>
          <w:rStyle w:val="eop"/>
          <w:color w:val="222222"/>
          <w:sz w:val="24"/>
          <w:szCs w:val="24"/>
          <w:shd w:val="clear" w:color="auto" w:fill="FFFFFF"/>
        </w:rPr>
      </w:pPr>
    </w:p>
    <w:p w14:paraId="1BDB82BB" w14:textId="4F6E68A3" w:rsidR="004B582A" w:rsidRPr="002F54D1" w:rsidRDefault="004B582A" w:rsidP="002F54D1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color w:val="000000"/>
          <w:bdr w:val="none" w:sz="0" w:space="0" w:color="auto" w:frame="1"/>
          <w:lang w:val="sq-AL"/>
        </w:rPr>
      </w:pPr>
      <w:r w:rsidRPr="002F54D1">
        <w:rPr>
          <w:rStyle w:val="normaltextrun"/>
          <w:b/>
          <w:bCs/>
          <w:color w:val="000000"/>
          <w:bdr w:val="none" w:sz="0" w:space="0" w:color="auto" w:frame="1"/>
          <w:lang w:val="sq-AL"/>
        </w:rPr>
        <w:lastRenderedPageBreak/>
        <w:t>Modifikimi i grantit</w:t>
      </w:r>
    </w:p>
    <w:p w14:paraId="4F330BAF" w14:textId="77777777" w:rsidR="004B582A" w:rsidRPr="004B582A" w:rsidRDefault="004B582A" w:rsidP="005A7000">
      <w:pPr>
        <w:pStyle w:val="paragraph"/>
        <w:spacing w:before="0" w:beforeAutospacing="0" w:after="0" w:afterAutospacing="0" w:line="360" w:lineRule="auto"/>
        <w:ind w:left="-270"/>
        <w:jc w:val="both"/>
        <w:textAlignment w:val="baseline"/>
        <w:rPr>
          <w:rStyle w:val="normaltextrun"/>
          <w:b/>
          <w:bCs/>
          <w:color w:val="000000"/>
          <w:bdr w:val="none" w:sz="0" w:space="0" w:color="auto" w:frame="1"/>
          <w:lang w:val="sq-AL"/>
        </w:rPr>
      </w:pPr>
    </w:p>
    <w:p w14:paraId="74542AE9" w14:textId="608DA89B" w:rsidR="004B582A" w:rsidRPr="004B582A" w:rsidRDefault="00FD5773" w:rsidP="005A7000">
      <w:pPr>
        <w:pStyle w:val="paragraph"/>
        <w:spacing w:before="0" w:beforeAutospacing="0" w:after="0" w:afterAutospacing="0" w:line="360" w:lineRule="auto"/>
        <w:ind w:left="-270"/>
        <w:jc w:val="both"/>
        <w:textAlignment w:val="baseline"/>
        <w:rPr>
          <w:b/>
          <w:bCs/>
          <w:color w:val="000000"/>
          <w:bdr w:val="none" w:sz="0" w:space="0" w:color="auto" w:frame="1"/>
          <w:lang w:val="sq-AL"/>
        </w:rPr>
      </w:pPr>
      <w:r w:rsidRPr="00FD5773">
        <w:rPr>
          <w:rStyle w:val="normaltextrun"/>
          <w:b/>
          <w:lang w:val="sq-AL"/>
        </w:rPr>
        <w:t>3.1</w:t>
      </w:r>
      <w:r>
        <w:rPr>
          <w:rStyle w:val="normaltextrun"/>
          <w:lang w:val="sq-AL"/>
        </w:rPr>
        <w:t xml:space="preserve"> </w:t>
      </w:r>
      <w:r w:rsidR="004B582A" w:rsidRPr="004B582A">
        <w:rPr>
          <w:rStyle w:val="normaltextrun"/>
          <w:lang w:val="sq-AL"/>
        </w:rPr>
        <w:t>Modifikimet do të përfshijnë çdo ndryshim në afatet dhe kushtet e një granti të specifikuar në kontratën e grantit. </w:t>
      </w:r>
      <w:r w:rsidR="004B582A" w:rsidRPr="004B582A">
        <w:rPr>
          <w:rStyle w:val="eop"/>
        </w:rPr>
        <w:t> </w:t>
      </w:r>
    </w:p>
    <w:p w14:paraId="5BFF33E4" w14:textId="4176DBAE" w:rsidR="004B582A" w:rsidRPr="004B582A" w:rsidRDefault="004B582A" w:rsidP="005A7000">
      <w:pPr>
        <w:pStyle w:val="paragraph"/>
        <w:spacing w:before="0" w:beforeAutospacing="0" w:after="0" w:afterAutospacing="0" w:line="360" w:lineRule="auto"/>
        <w:ind w:left="-270"/>
        <w:jc w:val="both"/>
        <w:textAlignment w:val="baseline"/>
        <w:rPr>
          <w:b/>
          <w:bCs/>
          <w:color w:val="000000"/>
          <w:bdr w:val="none" w:sz="0" w:space="0" w:color="auto" w:frame="1"/>
          <w:lang w:val="sq-AL"/>
        </w:rPr>
      </w:pPr>
      <w:r w:rsidRPr="004B582A">
        <w:rPr>
          <w:rStyle w:val="normaltextrun"/>
          <w:lang w:val="sq-AL"/>
        </w:rPr>
        <w:t xml:space="preserve">Grantmarrësit duhet të dorëzojnë një kërkesë me shkrim (kopje të printuar ose postë elektronike) për çdo modifikim/ndryshim të buxhetit të grantit </w:t>
      </w:r>
      <w:r w:rsidRPr="00FD5773">
        <w:rPr>
          <w:rStyle w:val="normaltextrun"/>
          <w:lang w:val="sq-AL"/>
        </w:rPr>
        <w:t>që tejkalon 10% të linjës</w:t>
      </w:r>
      <w:r w:rsidRPr="004B582A">
        <w:rPr>
          <w:rStyle w:val="normaltextrun"/>
          <w:lang w:val="sq-AL"/>
        </w:rPr>
        <w:t xml:space="preserve"> përkatëse të buxhetit, për t’u miratuar nga </w:t>
      </w:r>
      <w:r w:rsidR="00F457B8">
        <w:rPr>
          <w:rStyle w:val="normaltextrun"/>
          <w:lang w:val="sq-AL"/>
        </w:rPr>
        <w:t>pë</w:t>
      </w:r>
      <w:r w:rsidRPr="004B582A">
        <w:rPr>
          <w:rStyle w:val="normaltextrun"/>
          <w:lang w:val="sq-AL"/>
        </w:rPr>
        <w:t>rgjegj</w:t>
      </w:r>
      <w:r w:rsidR="004D430A">
        <w:rPr>
          <w:rStyle w:val="normaltextrun"/>
          <w:lang w:val="sq-AL"/>
        </w:rPr>
        <w:t>ë</w:t>
      </w:r>
      <w:r w:rsidRPr="004B582A">
        <w:rPr>
          <w:rStyle w:val="normaltextrun"/>
          <w:lang w:val="sq-AL"/>
        </w:rPr>
        <w:t xml:space="preserve">si i </w:t>
      </w:r>
      <w:r w:rsidR="00F457B8">
        <w:rPr>
          <w:rStyle w:val="normaltextrun"/>
          <w:lang w:val="sq-AL"/>
        </w:rPr>
        <w:t>p</w:t>
      </w:r>
      <w:r w:rsidRPr="004B582A">
        <w:rPr>
          <w:rStyle w:val="normaltextrun"/>
          <w:lang w:val="sq-AL"/>
        </w:rPr>
        <w:t xml:space="preserve">rojektit dhe </w:t>
      </w:r>
      <w:r w:rsidR="00F457B8">
        <w:rPr>
          <w:rStyle w:val="normaltextrun"/>
          <w:lang w:val="sq-AL"/>
        </w:rPr>
        <w:t>p</w:t>
      </w:r>
      <w:r w:rsidR="004D430A">
        <w:rPr>
          <w:rStyle w:val="normaltextrun"/>
          <w:lang w:val="sq-AL"/>
        </w:rPr>
        <w:t>ë</w:t>
      </w:r>
      <w:r w:rsidRPr="004B582A">
        <w:rPr>
          <w:rStyle w:val="normaltextrun"/>
          <w:lang w:val="sq-AL"/>
        </w:rPr>
        <w:t>rgjegj</w:t>
      </w:r>
      <w:r w:rsidR="004D430A">
        <w:rPr>
          <w:rStyle w:val="normaltextrun"/>
          <w:lang w:val="sq-AL"/>
        </w:rPr>
        <w:t>ë</w:t>
      </w:r>
      <w:r w:rsidRPr="004B582A">
        <w:rPr>
          <w:rStyle w:val="normaltextrun"/>
          <w:lang w:val="sq-AL"/>
        </w:rPr>
        <w:t xml:space="preserve">si i </w:t>
      </w:r>
      <w:r w:rsidR="00F457B8">
        <w:rPr>
          <w:rStyle w:val="normaltextrun"/>
          <w:lang w:val="sq-AL"/>
        </w:rPr>
        <w:t>f</w:t>
      </w:r>
      <w:r w:rsidRPr="004B582A">
        <w:rPr>
          <w:rStyle w:val="normaltextrun"/>
          <w:lang w:val="sq-AL"/>
        </w:rPr>
        <w:t>inancave</w:t>
      </w:r>
      <w:r w:rsidR="00FD5773">
        <w:rPr>
          <w:rStyle w:val="normaltextrun"/>
          <w:lang w:val="sq-AL"/>
        </w:rPr>
        <w:t>.</w:t>
      </w:r>
      <w:r w:rsidRPr="004B582A">
        <w:rPr>
          <w:rStyle w:val="normaltextrun"/>
          <w:lang w:val="sq-AL"/>
        </w:rPr>
        <w:t xml:space="preserve"> </w:t>
      </w:r>
    </w:p>
    <w:p w14:paraId="6876866C" w14:textId="77777777" w:rsidR="004B582A" w:rsidRPr="004B582A" w:rsidRDefault="004B582A" w:rsidP="005A7000">
      <w:pPr>
        <w:spacing w:line="360" w:lineRule="auto"/>
        <w:ind w:left="-270"/>
        <w:rPr>
          <w:rFonts w:ascii="Times New Roman" w:hAnsi="Times New Roman" w:cs="Times New Roman"/>
          <w:sz w:val="24"/>
          <w:szCs w:val="24"/>
        </w:rPr>
      </w:pPr>
    </w:p>
    <w:sectPr w:rsidR="004B582A" w:rsidRPr="004B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DC4"/>
    <w:multiLevelType w:val="hybridMultilevel"/>
    <w:tmpl w:val="FEF006C4"/>
    <w:lvl w:ilvl="0" w:tplc="728CD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C4F95"/>
    <w:multiLevelType w:val="hybridMultilevel"/>
    <w:tmpl w:val="756E9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36F7"/>
    <w:multiLevelType w:val="hybridMultilevel"/>
    <w:tmpl w:val="E1A645F0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D920623"/>
    <w:multiLevelType w:val="hybridMultilevel"/>
    <w:tmpl w:val="09BE3062"/>
    <w:lvl w:ilvl="0" w:tplc="A21EFBB2">
      <w:start w:val="1"/>
      <w:numFmt w:val="lowerLetter"/>
      <w:lvlText w:val="%1)"/>
      <w:lvlJc w:val="left"/>
      <w:pPr>
        <w:ind w:left="45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D986416"/>
    <w:multiLevelType w:val="hybridMultilevel"/>
    <w:tmpl w:val="F908443E"/>
    <w:lvl w:ilvl="0" w:tplc="6E981E4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2F7B"/>
    <w:multiLevelType w:val="hybridMultilevel"/>
    <w:tmpl w:val="320EC652"/>
    <w:lvl w:ilvl="0" w:tplc="FA6A56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710CA"/>
    <w:multiLevelType w:val="hybridMultilevel"/>
    <w:tmpl w:val="1BDC2F30"/>
    <w:lvl w:ilvl="0" w:tplc="46ACB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5F0B"/>
    <w:multiLevelType w:val="hybridMultilevel"/>
    <w:tmpl w:val="C13E05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059D4"/>
    <w:multiLevelType w:val="hybridMultilevel"/>
    <w:tmpl w:val="908850CE"/>
    <w:lvl w:ilvl="0" w:tplc="EE5A92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F26C2"/>
    <w:multiLevelType w:val="hybridMultilevel"/>
    <w:tmpl w:val="13283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61"/>
    <w:rsid w:val="00112357"/>
    <w:rsid w:val="00120015"/>
    <w:rsid w:val="0013322C"/>
    <w:rsid w:val="001906D1"/>
    <w:rsid w:val="001A6F84"/>
    <w:rsid w:val="002F54D1"/>
    <w:rsid w:val="004216D4"/>
    <w:rsid w:val="004B582A"/>
    <w:rsid w:val="004D430A"/>
    <w:rsid w:val="005007BC"/>
    <w:rsid w:val="00507677"/>
    <w:rsid w:val="00551527"/>
    <w:rsid w:val="00576EA2"/>
    <w:rsid w:val="005A7000"/>
    <w:rsid w:val="00607FD9"/>
    <w:rsid w:val="00671C25"/>
    <w:rsid w:val="00686AA4"/>
    <w:rsid w:val="00691C54"/>
    <w:rsid w:val="006E29C9"/>
    <w:rsid w:val="00803815"/>
    <w:rsid w:val="009162DE"/>
    <w:rsid w:val="009504BC"/>
    <w:rsid w:val="00C86F3A"/>
    <w:rsid w:val="00E10E75"/>
    <w:rsid w:val="00E25DC5"/>
    <w:rsid w:val="00E87361"/>
    <w:rsid w:val="00F457B8"/>
    <w:rsid w:val="00F9011E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80CA"/>
  <w15:docId w15:val="{E3150BDF-F15F-412E-AF9A-214274C2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8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361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Normal"/>
    <w:rsid w:val="00F9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011E"/>
  </w:style>
  <w:style w:type="character" w:customStyle="1" w:styleId="eop">
    <w:name w:val="eop"/>
    <w:basedOn w:val="DefaultParagraphFont"/>
    <w:rsid w:val="00F9011E"/>
  </w:style>
  <w:style w:type="paragraph" w:styleId="ListParagraph">
    <w:name w:val="List Paragraph"/>
    <w:basedOn w:val="Normal"/>
    <w:uiPriority w:val="34"/>
    <w:qFormat/>
    <w:rsid w:val="005A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074C-5097-447C-9D37-51CB28D5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AKR</cp:lastModifiedBy>
  <cp:revision>33</cp:revision>
  <dcterms:created xsi:type="dcterms:W3CDTF">2021-05-05T08:03:00Z</dcterms:created>
  <dcterms:modified xsi:type="dcterms:W3CDTF">2021-06-28T09:31:00Z</dcterms:modified>
</cp:coreProperties>
</file>